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CE91" w14:textId="3257EDAA" w:rsidR="00270483" w:rsidRDefault="00E8586C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E8586C">
        <w:rPr>
          <w:rFonts w:ascii="Arial" w:hAnsi="Arial" w:cs="Arial"/>
          <w:b/>
          <w:bCs/>
          <w:color w:val="3DCD58"/>
          <w:sz w:val="40"/>
          <w:szCs w:val="40"/>
        </w:rPr>
        <w:t xml:space="preserve">Schneider Electric získal ocenění od </w:t>
      </w:r>
      <w:r w:rsidR="00A93344">
        <w:rPr>
          <w:rFonts w:ascii="Arial" w:hAnsi="Arial" w:cs="Arial"/>
          <w:b/>
          <w:bCs/>
          <w:color w:val="3DCD58"/>
          <w:sz w:val="40"/>
          <w:szCs w:val="40"/>
        </w:rPr>
        <w:t>Světového ekonomického fóra</w:t>
      </w:r>
      <w:r w:rsidR="00A93344" w:rsidRPr="00E8586C"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Pr="00E8586C">
        <w:rPr>
          <w:rFonts w:ascii="Arial" w:hAnsi="Arial" w:cs="Arial"/>
          <w:b/>
          <w:bCs/>
          <w:color w:val="3DCD58"/>
          <w:sz w:val="40"/>
          <w:szCs w:val="40"/>
        </w:rPr>
        <w:t>za podporu zkušených zaměstnanců</w:t>
      </w:r>
    </w:p>
    <w:p w14:paraId="0297EDE3" w14:textId="77777777" w:rsidR="00E8586C" w:rsidRDefault="00E8586C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1D6D5BE" w14:textId="39ECC115" w:rsidR="009213AB" w:rsidRPr="009213AB" w:rsidRDefault="003B0A9F" w:rsidP="009213A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B2736E">
        <w:rPr>
          <w:rFonts w:ascii="Arial" w:eastAsia="Arial" w:hAnsi="Arial" w:cs="Arial"/>
          <w:b/>
          <w:bCs/>
          <w:sz w:val="20"/>
          <w:szCs w:val="20"/>
        </w:rPr>
        <w:t>22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0DF5">
        <w:rPr>
          <w:rFonts w:ascii="Arial" w:eastAsia="Arial" w:hAnsi="Arial" w:cs="Arial"/>
          <w:b/>
          <w:bCs/>
          <w:sz w:val="20"/>
          <w:szCs w:val="20"/>
        </w:rPr>
        <w:t>června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E8586C" w:rsidRPr="00E8586C">
        <w:rPr>
          <w:rFonts w:ascii="Arial" w:eastAsia="Arial" w:hAnsi="Arial" w:cs="Arial"/>
          <w:b/>
          <w:bCs/>
          <w:sz w:val="20"/>
          <w:szCs w:val="20"/>
        </w:rPr>
        <w:t>Společnost Schneider Electric, globální lídr v oblasti energetických technologií, byla Světovým ekonomickým fórem (WEF) oceněna titulem Future of Inclusion Lighthouse (Maják budoucnosti inkluze) za svůj globální program pro zkušené talenty. Tento program podporuje zaměstnance v pozdějších fázích kariéry a pomáhá jim budovat další kapitolu jejich profesního života prostřednictvím personalizovaného rozvoje a příležitostí, které odpovídají jejich osobním ambicím.</w:t>
      </w:r>
    </w:p>
    <w:p w14:paraId="1132E781" w14:textId="6B2D2CFD" w:rsidR="00ED3A64" w:rsidRDefault="00ED3A64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53C2DFE2" w14:textId="10DC9C27" w:rsidR="00270483" w:rsidRDefault="00E8586C" w:rsidP="00EC53AB">
      <w:pPr>
        <w:jc w:val="both"/>
        <w:rPr>
          <w:rFonts w:ascii="Arial" w:eastAsia="Arial" w:hAnsi="Arial" w:cs="Arial"/>
          <w:sz w:val="20"/>
          <w:szCs w:val="20"/>
        </w:rPr>
      </w:pPr>
      <w:r w:rsidRPr="00E8586C">
        <w:rPr>
          <w:rFonts w:ascii="Arial" w:eastAsia="Arial" w:hAnsi="Arial" w:cs="Arial"/>
          <w:sz w:val="20"/>
          <w:szCs w:val="20"/>
        </w:rPr>
        <w:t xml:space="preserve">Ocenění vyzdvihuje závazek </w:t>
      </w:r>
      <w:hyperlink r:id="rId11" w:history="1">
        <w:r w:rsidRPr="002F3F35">
          <w:rPr>
            <w:rStyle w:val="Hypertextovodkaz"/>
            <w:rFonts w:ascii="Arial" w:eastAsia="Arial" w:hAnsi="Arial" w:cs="Arial"/>
            <w:sz w:val="20"/>
            <w:szCs w:val="20"/>
          </w:rPr>
          <w:t>Schneider Electric</w:t>
        </w:r>
      </w:hyperlink>
      <w:r w:rsidRPr="00E8586C">
        <w:rPr>
          <w:rFonts w:ascii="Arial" w:eastAsia="Arial" w:hAnsi="Arial" w:cs="Arial"/>
          <w:sz w:val="20"/>
          <w:szCs w:val="20"/>
        </w:rPr>
        <w:t xml:space="preserve"> podporovat inkluzi napříč všemi věkovými skupinami a fázemi kariéry</w:t>
      </w:r>
      <w:r w:rsidR="00EE6EC3">
        <w:rPr>
          <w:rFonts w:ascii="Arial" w:eastAsia="Arial" w:hAnsi="Arial" w:cs="Arial"/>
          <w:sz w:val="20"/>
          <w:szCs w:val="20"/>
        </w:rPr>
        <w:t xml:space="preserve">. Ta totiž </w:t>
      </w:r>
      <w:r w:rsidRPr="00E8586C">
        <w:rPr>
          <w:rFonts w:ascii="Arial" w:eastAsia="Arial" w:hAnsi="Arial" w:cs="Arial"/>
          <w:sz w:val="20"/>
          <w:szCs w:val="20"/>
        </w:rPr>
        <w:t>posiluje organizační odolnost v reakci na globální demografické změny, rostoucí nedostatek talentů a prodlužující se věk odchodu do důchodu. Program pomáhá zaměstnancům úspěšně procházet různými profesními cestami</w:t>
      </w:r>
      <w:r w:rsidR="000B2F8E">
        <w:rPr>
          <w:rFonts w:ascii="Arial" w:eastAsia="Arial" w:hAnsi="Arial" w:cs="Arial"/>
          <w:sz w:val="20"/>
          <w:szCs w:val="20"/>
        </w:rPr>
        <w:t>,</w:t>
      </w:r>
      <w:r w:rsidRPr="00E8586C">
        <w:rPr>
          <w:rFonts w:ascii="Arial" w:eastAsia="Arial" w:hAnsi="Arial" w:cs="Arial"/>
          <w:sz w:val="20"/>
          <w:szCs w:val="20"/>
        </w:rPr>
        <w:t xml:space="preserve"> ať už jde o kariérní růst a přijímání větší odpovědnosti, pokračování v odvádění skvělé práce na stávající pozici, přechod na zcela nové role, sdílení znalostí nebo přípravu na odchod do penze. Současně </w:t>
      </w:r>
      <w:r w:rsidR="00EE6EC3">
        <w:rPr>
          <w:rFonts w:ascii="Arial" w:eastAsia="Arial" w:hAnsi="Arial" w:cs="Arial"/>
          <w:sz w:val="20"/>
          <w:szCs w:val="20"/>
        </w:rPr>
        <w:t xml:space="preserve">také </w:t>
      </w:r>
      <w:r w:rsidRPr="00E8586C">
        <w:rPr>
          <w:rFonts w:ascii="Arial" w:eastAsia="Arial" w:hAnsi="Arial" w:cs="Arial"/>
          <w:sz w:val="20"/>
          <w:szCs w:val="20"/>
        </w:rPr>
        <w:t xml:space="preserve">program </w:t>
      </w:r>
      <w:r w:rsidR="000B2F8E">
        <w:rPr>
          <w:rFonts w:ascii="Arial" w:eastAsia="Arial" w:hAnsi="Arial" w:cs="Arial"/>
          <w:sz w:val="20"/>
          <w:szCs w:val="20"/>
        </w:rPr>
        <w:t>rozvíjí</w:t>
      </w:r>
      <w:r w:rsidR="000B2F8E" w:rsidRPr="00E8586C">
        <w:rPr>
          <w:rFonts w:ascii="Arial" w:eastAsia="Arial" w:hAnsi="Arial" w:cs="Arial"/>
          <w:sz w:val="20"/>
          <w:szCs w:val="20"/>
        </w:rPr>
        <w:t xml:space="preserve"> </w:t>
      </w:r>
      <w:r w:rsidRPr="00E8586C">
        <w:rPr>
          <w:rFonts w:ascii="Arial" w:eastAsia="Arial" w:hAnsi="Arial" w:cs="Arial"/>
          <w:sz w:val="20"/>
          <w:szCs w:val="20"/>
        </w:rPr>
        <w:t>mezigenerační spolupráci napříč týmy.</w:t>
      </w:r>
    </w:p>
    <w:p w14:paraId="538F2309" w14:textId="77777777" w:rsidR="00E8586C" w:rsidRPr="00270483" w:rsidRDefault="00E8586C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5F48947C" w14:textId="77777777" w:rsid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  <w:r w:rsidRPr="00E8586C">
        <w:rPr>
          <w:rFonts w:ascii="Arial" w:eastAsia="Arial" w:hAnsi="Arial" w:cs="Arial"/>
          <w:sz w:val="20"/>
          <w:szCs w:val="20"/>
        </w:rPr>
        <w:t>Společnost Schneider Electric spustila tento globální program v roce 2021 jako součást své komplexní strategie péče o zaměstnance (People Strategy). Cílem je poskytovat rovné příležitosti a nepřetržitou podporu v každé fázi profesního života. Kombinací silného globálního rámce a lokální adaptace vytvořil Schneider Electric flexibilní a škálovatelný přístup.</w:t>
      </w:r>
    </w:p>
    <w:p w14:paraId="077B229E" w14:textId="77777777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</w:p>
    <w:p w14:paraId="7EEA7811" w14:textId="146C97BD" w:rsidR="00EE6EC3" w:rsidRDefault="002F3F35" w:rsidP="00E8586C">
      <w:pPr>
        <w:jc w:val="both"/>
        <w:rPr>
          <w:rFonts w:ascii="Arial" w:eastAsia="Arial" w:hAnsi="Arial" w:cs="Arial"/>
          <w:sz w:val="20"/>
          <w:szCs w:val="20"/>
        </w:rPr>
      </w:pPr>
      <w:r w:rsidRPr="002F3F35">
        <w:rPr>
          <w:rFonts w:ascii="Arial" w:eastAsia="Arial" w:hAnsi="Arial" w:cs="Arial"/>
          <w:sz w:val="20"/>
          <w:szCs w:val="20"/>
        </w:rPr>
        <w:t xml:space="preserve">Významným faktorem pro lokální adaptaci programu je fakt, že v české pobočce Schneider Electric tvoří zaměstnanci starší 50 let přibližně 41 % celého týmu. </w:t>
      </w:r>
      <w:r w:rsidRPr="002F3F35">
        <w:rPr>
          <w:rFonts w:ascii="Arial" w:eastAsia="Arial" w:hAnsi="Arial" w:cs="Arial"/>
          <w:i/>
          <w:iCs/>
          <w:sz w:val="20"/>
          <w:szCs w:val="20"/>
        </w:rPr>
        <w:t>„Ocenění od Světového ekonomického fóra je pro nás potvrzením, že jdeme správným směrem. Klíčem k úspěchu je však lidský přístup, který u nás funguje přirozeně a bez tlaku korporátních procesů,“</w:t>
      </w:r>
      <w:r w:rsidRPr="002F3F35">
        <w:rPr>
          <w:rFonts w:ascii="Arial" w:eastAsia="Arial" w:hAnsi="Arial" w:cs="Arial"/>
          <w:sz w:val="20"/>
          <w:szCs w:val="20"/>
        </w:rPr>
        <w:t xml:space="preserve"> </w:t>
      </w:r>
      <w:r w:rsidRPr="000B2F8E">
        <w:rPr>
          <w:rFonts w:ascii="Arial" w:eastAsia="Arial" w:hAnsi="Arial" w:cs="Arial"/>
          <w:sz w:val="20"/>
          <w:szCs w:val="20"/>
        </w:rPr>
        <w:t xml:space="preserve">vysvětluje </w:t>
      </w:r>
      <w:r w:rsidRPr="00A93344">
        <w:rPr>
          <w:rFonts w:ascii="Arial" w:eastAsia="Arial" w:hAnsi="Arial" w:cs="Arial"/>
          <w:sz w:val="20"/>
          <w:szCs w:val="20"/>
        </w:rPr>
        <w:t>Pavla Frindtová, HR ředitelka společnosti Schneider Electric pro Českou republiku a Slovensko</w:t>
      </w:r>
      <w:r w:rsidRPr="000B2F8E">
        <w:rPr>
          <w:rFonts w:ascii="Arial" w:eastAsia="Arial" w:hAnsi="Arial" w:cs="Arial"/>
          <w:sz w:val="20"/>
          <w:szCs w:val="20"/>
        </w:rPr>
        <w:t>.</w:t>
      </w:r>
      <w:r w:rsidRPr="002F3F35">
        <w:rPr>
          <w:rFonts w:ascii="Arial" w:eastAsia="Arial" w:hAnsi="Arial" w:cs="Arial"/>
          <w:sz w:val="20"/>
          <w:szCs w:val="20"/>
        </w:rPr>
        <w:t xml:space="preserve"> </w:t>
      </w:r>
      <w:r w:rsidRPr="002F3F35">
        <w:rPr>
          <w:rFonts w:ascii="Arial" w:eastAsia="Arial" w:hAnsi="Arial" w:cs="Arial"/>
          <w:i/>
          <w:iCs/>
          <w:sz w:val="20"/>
          <w:szCs w:val="20"/>
        </w:rPr>
        <w:t>„Naši zkušení matadoři fungují pro nováčky jako mentoři zcela spontánně, protože chtějí své dlouholeté know-how předat dál. My jim z pozice HR vytváříme podmínky na míru</w:t>
      </w:r>
      <w:r w:rsidR="000A21EF"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Pr="002F3F35">
        <w:rPr>
          <w:rFonts w:ascii="Arial" w:eastAsia="Arial" w:hAnsi="Arial" w:cs="Arial"/>
          <w:i/>
          <w:iCs/>
          <w:sz w:val="20"/>
          <w:szCs w:val="20"/>
        </w:rPr>
        <w:t>ať už jde o flexibilitu v podobě zkrácených úvazků, dny zdravotního volna navíc nebo možnost zůstat s firmou v kontaktu formou brigád i během penze.“</w:t>
      </w:r>
    </w:p>
    <w:p w14:paraId="46F55A65" w14:textId="77777777" w:rsidR="00270483" w:rsidRPr="00270483" w:rsidRDefault="00270483" w:rsidP="0027048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937D44F" w14:textId="77777777" w:rsidR="00E8586C" w:rsidRPr="00E8586C" w:rsidRDefault="00E8586C" w:rsidP="00E8586C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E8586C">
        <w:rPr>
          <w:rFonts w:ascii="Arial" w:hAnsi="Arial" w:cs="Arial"/>
          <w:b/>
          <w:bCs/>
          <w:color w:val="3DCD58"/>
          <w:sz w:val="20"/>
          <w:szCs w:val="20"/>
        </w:rPr>
        <w:t>Měřitelný pokrok a udržitelnost do roku 2030</w:t>
      </w:r>
    </w:p>
    <w:p w14:paraId="08C91DD9" w14:textId="77777777" w:rsidR="00E8586C" w:rsidRPr="00E8586C" w:rsidRDefault="00E8586C" w:rsidP="00E8586C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DD8DF3F" w14:textId="77777777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  <w:r w:rsidRPr="00E8586C">
        <w:rPr>
          <w:rFonts w:ascii="Arial" w:eastAsia="Arial" w:hAnsi="Arial" w:cs="Arial"/>
          <w:sz w:val="20"/>
          <w:szCs w:val="20"/>
        </w:rPr>
        <w:t>Program je globálně strukturován kolem čtyř hlavních kariérních cest (Accelerate, Continue, Pivot a Transition), které podporuje společný set nástrojů zahrnující zvyšování kvalifikace (upskilling a reskilling), předávání znalostí, vzájemný mentoring, koučink, nové formy smluvních úvazků i post-kariérní spolupráci.</w:t>
      </w:r>
    </w:p>
    <w:p w14:paraId="356E76A1" w14:textId="77777777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</w:p>
    <w:p w14:paraId="33F95A2A" w14:textId="5C4ACB2E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  <w:r w:rsidRPr="00E8586C">
        <w:rPr>
          <w:rFonts w:ascii="Arial" w:eastAsia="Arial" w:hAnsi="Arial" w:cs="Arial"/>
          <w:sz w:val="20"/>
          <w:szCs w:val="20"/>
        </w:rPr>
        <w:t xml:space="preserve">K roku 2025 přinesl program měřitelné výsledky. Celých 93 % zaměstnanců Schneider Electric v pozdních fázích kariéry má nyní ve svých zemích přístup k </w:t>
      </w:r>
      <w:r w:rsidR="00C76D14">
        <w:rPr>
          <w:rFonts w:ascii="Arial" w:eastAsia="Arial" w:hAnsi="Arial" w:cs="Arial"/>
          <w:sz w:val="20"/>
          <w:szCs w:val="20"/>
        </w:rPr>
        <w:t>personalizované</w:t>
      </w:r>
      <w:r w:rsidR="00C76D14" w:rsidRPr="00E8586C">
        <w:rPr>
          <w:rFonts w:ascii="Arial" w:eastAsia="Arial" w:hAnsi="Arial" w:cs="Arial"/>
          <w:sz w:val="20"/>
          <w:szCs w:val="20"/>
        </w:rPr>
        <w:t xml:space="preserve"> </w:t>
      </w:r>
      <w:r w:rsidRPr="00E8586C">
        <w:rPr>
          <w:rFonts w:ascii="Arial" w:eastAsia="Arial" w:hAnsi="Arial" w:cs="Arial"/>
          <w:sz w:val="20"/>
          <w:szCs w:val="20"/>
        </w:rPr>
        <w:t>podpoře profesního rozvoje. To vedlo k prokazatelnému zvýšení jejich angažovanosti a k častějšímu dialogu o kariérních potřebách zkušených pracovníků.</w:t>
      </w:r>
    </w:p>
    <w:p w14:paraId="7E017141" w14:textId="77777777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</w:p>
    <w:p w14:paraId="0004D4DA" w14:textId="43B33ADF" w:rsidR="00E8586C" w:rsidRPr="00E8586C" w:rsidRDefault="00E8586C" w:rsidP="00E8586C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E8586C">
        <w:rPr>
          <w:rFonts w:ascii="Arial" w:eastAsia="Arial" w:hAnsi="Arial" w:cs="Arial"/>
          <w:i/>
          <w:iCs/>
          <w:sz w:val="20"/>
          <w:szCs w:val="20"/>
        </w:rPr>
        <w:t>„</w:t>
      </w:r>
      <w:r w:rsidR="00C76D14">
        <w:rPr>
          <w:rFonts w:ascii="Arial" w:eastAsia="Arial" w:hAnsi="Arial" w:cs="Arial"/>
          <w:i/>
          <w:iCs/>
          <w:sz w:val="20"/>
          <w:szCs w:val="20"/>
        </w:rPr>
        <w:t>Velmi si vážíme ocenění</w:t>
      </w:r>
      <w:r w:rsidRPr="00E8586C">
        <w:rPr>
          <w:rFonts w:ascii="Arial" w:eastAsia="Arial" w:hAnsi="Arial" w:cs="Arial"/>
          <w:i/>
          <w:iCs/>
          <w:sz w:val="20"/>
          <w:szCs w:val="20"/>
        </w:rPr>
        <w:t xml:space="preserve"> Future of Inclusion Lighthouse pro náš program pro zkušené talenty,“</w:t>
      </w:r>
      <w:r w:rsidRPr="00E8586C">
        <w:rPr>
          <w:rFonts w:ascii="Arial" w:eastAsia="Arial" w:hAnsi="Arial" w:cs="Arial"/>
          <w:sz w:val="20"/>
          <w:szCs w:val="20"/>
        </w:rPr>
        <w:t xml:space="preserve"> uved</w:t>
      </w:r>
      <w:r w:rsidRPr="00C76D14">
        <w:rPr>
          <w:rFonts w:ascii="Arial" w:eastAsia="Arial" w:hAnsi="Arial" w:cs="Arial"/>
          <w:sz w:val="20"/>
          <w:szCs w:val="20"/>
        </w:rPr>
        <w:t xml:space="preserve">la </w:t>
      </w:r>
      <w:r w:rsidRPr="00A93344">
        <w:rPr>
          <w:rFonts w:ascii="Arial" w:eastAsia="Arial" w:hAnsi="Arial" w:cs="Arial"/>
          <w:sz w:val="20"/>
          <w:szCs w:val="20"/>
        </w:rPr>
        <w:t>Charise Le, globální HR ředitelka společnosti Schneider Electric</w:t>
      </w:r>
      <w:r w:rsidRPr="00C76D14">
        <w:rPr>
          <w:rFonts w:ascii="Arial" w:eastAsia="Arial" w:hAnsi="Arial" w:cs="Arial"/>
          <w:sz w:val="20"/>
          <w:szCs w:val="20"/>
        </w:rPr>
        <w:t xml:space="preserve">. </w:t>
      </w:r>
      <w:r w:rsidRPr="00E8586C">
        <w:rPr>
          <w:rFonts w:ascii="Arial" w:eastAsia="Arial" w:hAnsi="Arial" w:cs="Arial"/>
          <w:i/>
          <w:iCs/>
          <w:sz w:val="20"/>
          <w:szCs w:val="20"/>
        </w:rPr>
        <w:t>„V Schneider Electric vnímáme zkušenosti jako silný motor stability, inovací a inkluze. Tím, že našim lidem umožňujeme aktivně utvářet další fázi jejich kariéry, vytváříme spravedlivější příležitosti, posilujeme spolupráci mezi generacemi a zajišťujeme, že klíčové know-how nadále přináší hodnotu našim lidem, zákazníkům i celému podnikání.“</w:t>
      </w:r>
    </w:p>
    <w:p w14:paraId="2202BA8D" w14:textId="77777777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</w:p>
    <w:p w14:paraId="54666FA2" w14:textId="1F6E28D8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  <w:r w:rsidRPr="00E8586C">
        <w:rPr>
          <w:rFonts w:ascii="Arial" w:eastAsia="Arial" w:hAnsi="Arial" w:cs="Arial"/>
          <w:sz w:val="20"/>
          <w:szCs w:val="20"/>
        </w:rPr>
        <w:t xml:space="preserve">Tato iniciativa je pevně zakotvena v globální strategii udržitelného rozvoje </w:t>
      </w:r>
      <w:r w:rsidRPr="00E8586C">
        <w:rPr>
          <w:rFonts w:ascii="Arial" w:eastAsia="Arial" w:hAnsi="Arial" w:cs="Arial"/>
          <w:i/>
          <w:iCs/>
          <w:sz w:val="20"/>
          <w:szCs w:val="20"/>
        </w:rPr>
        <w:t xml:space="preserve">Schneider Electric </w:t>
      </w:r>
      <w:r w:rsidRPr="002F3F35">
        <w:rPr>
          <w:rFonts w:ascii="Arial" w:eastAsia="Arial" w:hAnsi="Arial" w:cs="Arial"/>
          <w:sz w:val="20"/>
          <w:szCs w:val="20"/>
        </w:rPr>
        <w:t>Sustainability Impact 2030</w:t>
      </w:r>
      <w:r w:rsidRPr="00E8586C">
        <w:rPr>
          <w:rFonts w:ascii="Arial" w:eastAsia="Arial" w:hAnsi="Arial" w:cs="Arial"/>
          <w:sz w:val="20"/>
          <w:szCs w:val="20"/>
        </w:rPr>
        <w:t xml:space="preserve">, kde věková inkluze představuje jeden z hlavních pilířů dlouhodobého dopadu společnosti. </w:t>
      </w:r>
      <w:r w:rsidR="00C76D14">
        <w:rPr>
          <w:rFonts w:ascii="Arial" w:eastAsia="Arial" w:hAnsi="Arial" w:cs="Arial"/>
          <w:sz w:val="20"/>
          <w:szCs w:val="20"/>
        </w:rPr>
        <w:t>Dosažený p</w:t>
      </w:r>
      <w:r w:rsidRPr="00E8586C">
        <w:rPr>
          <w:rFonts w:ascii="Arial" w:eastAsia="Arial" w:hAnsi="Arial" w:cs="Arial"/>
          <w:sz w:val="20"/>
          <w:szCs w:val="20"/>
        </w:rPr>
        <w:t xml:space="preserve">okrok je pravidelně sledován pomocí </w:t>
      </w:r>
      <w:r w:rsidR="00C76D14">
        <w:rPr>
          <w:rFonts w:ascii="Arial" w:eastAsia="Arial" w:hAnsi="Arial" w:cs="Arial"/>
          <w:sz w:val="20"/>
          <w:szCs w:val="20"/>
        </w:rPr>
        <w:t>stanovených</w:t>
      </w:r>
      <w:r w:rsidR="00C76D14" w:rsidRPr="00E8586C">
        <w:rPr>
          <w:rFonts w:ascii="Arial" w:eastAsia="Arial" w:hAnsi="Arial" w:cs="Arial"/>
          <w:sz w:val="20"/>
          <w:szCs w:val="20"/>
        </w:rPr>
        <w:t xml:space="preserve"> </w:t>
      </w:r>
      <w:r w:rsidRPr="00E8586C">
        <w:rPr>
          <w:rFonts w:ascii="Arial" w:eastAsia="Arial" w:hAnsi="Arial" w:cs="Arial"/>
          <w:sz w:val="20"/>
          <w:szCs w:val="20"/>
        </w:rPr>
        <w:t>ukazatelů (KPI) a hodnoc vedení společnosti na úrovni jednotlivých zemí.</w:t>
      </w:r>
    </w:p>
    <w:p w14:paraId="41CC85F7" w14:textId="77777777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</w:p>
    <w:p w14:paraId="7EBAD502" w14:textId="47587E5E" w:rsidR="00E8586C" w:rsidRPr="002F3F35" w:rsidRDefault="00E8586C" w:rsidP="00E8586C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E8586C">
        <w:rPr>
          <w:rFonts w:ascii="Arial" w:hAnsi="Arial" w:cs="Arial"/>
          <w:b/>
          <w:bCs/>
          <w:color w:val="3DCD58"/>
          <w:sz w:val="20"/>
          <w:szCs w:val="20"/>
        </w:rPr>
        <w:lastRenderedPageBreak/>
        <w:t>O programu Future of Inclusion Lighthouse</w:t>
      </w:r>
    </w:p>
    <w:p w14:paraId="30FA9EDE" w14:textId="58B3519A" w:rsidR="00E8586C" w:rsidRPr="00E8586C" w:rsidRDefault="00E8586C" w:rsidP="00E8586C">
      <w:pPr>
        <w:jc w:val="both"/>
        <w:rPr>
          <w:rFonts w:ascii="Arial" w:eastAsia="Arial" w:hAnsi="Arial" w:cs="Arial"/>
          <w:sz w:val="20"/>
          <w:szCs w:val="20"/>
        </w:rPr>
      </w:pPr>
      <w:r w:rsidRPr="00E8586C">
        <w:rPr>
          <w:rFonts w:ascii="Arial" w:eastAsia="Arial" w:hAnsi="Arial" w:cs="Arial"/>
          <w:sz w:val="20"/>
          <w:szCs w:val="20"/>
        </w:rPr>
        <w:t xml:space="preserve">Program </w:t>
      </w:r>
      <w:r w:rsidRPr="002F3F35">
        <w:rPr>
          <w:rFonts w:ascii="Arial" w:eastAsia="Arial" w:hAnsi="Arial" w:cs="Arial"/>
          <w:sz w:val="20"/>
          <w:szCs w:val="20"/>
        </w:rPr>
        <w:t>Future of Inclusion Lighthouse</w:t>
      </w:r>
      <w:r w:rsidRPr="00E8586C">
        <w:rPr>
          <w:rFonts w:ascii="Arial" w:eastAsia="Arial" w:hAnsi="Arial" w:cs="Arial"/>
          <w:sz w:val="20"/>
          <w:szCs w:val="20"/>
        </w:rPr>
        <w:t xml:space="preserve"> je každoroční iniciativa organizovaná Centrem pro novou ekonomiku a společnost při Světovém ekonomickém fóru. Jejím cílem je vyhledávat, </w:t>
      </w:r>
      <w:r w:rsidR="008C75B9">
        <w:rPr>
          <w:rFonts w:ascii="Arial" w:eastAsia="Arial" w:hAnsi="Arial" w:cs="Arial"/>
          <w:sz w:val="20"/>
          <w:szCs w:val="20"/>
        </w:rPr>
        <w:t>oceňovat</w:t>
      </w:r>
      <w:r w:rsidR="008C75B9" w:rsidRPr="00E8586C">
        <w:rPr>
          <w:rFonts w:ascii="Arial" w:eastAsia="Arial" w:hAnsi="Arial" w:cs="Arial"/>
          <w:sz w:val="20"/>
          <w:szCs w:val="20"/>
        </w:rPr>
        <w:t xml:space="preserve"> </w:t>
      </w:r>
      <w:r w:rsidRPr="00E8586C">
        <w:rPr>
          <w:rFonts w:ascii="Arial" w:eastAsia="Arial" w:hAnsi="Arial" w:cs="Arial"/>
          <w:sz w:val="20"/>
          <w:szCs w:val="20"/>
        </w:rPr>
        <w:t xml:space="preserve">a </w:t>
      </w:r>
      <w:r w:rsidR="008C75B9">
        <w:rPr>
          <w:rFonts w:ascii="Arial" w:eastAsia="Arial" w:hAnsi="Arial" w:cs="Arial"/>
          <w:sz w:val="20"/>
          <w:szCs w:val="20"/>
        </w:rPr>
        <w:t>šířit</w:t>
      </w:r>
      <w:r w:rsidR="008C75B9" w:rsidRPr="00E8586C">
        <w:rPr>
          <w:rFonts w:ascii="Arial" w:eastAsia="Arial" w:hAnsi="Arial" w:cs="Arial"/>
          <w:sz w:val="20"/>
          <w:szCs w:val="20"/>
        </w:rPr>
        <w:t xml:space="preserve"> </w:t>
      </w:r>
      <w:r w:rsidR="008C75B9">
        <w:rPr>
          <w:rFonts w:ascii="Arial" w:eastAsia="Arial" w:hAnsi="Arial" w:cs="Arial"/>
          <w:sz w:val="20"/>
          <w:szCs w:val="20"/>
        </w:rPr>
        <w:t>příklady firemních přístupů</w:t>
      </w:r>
      <w:r w:rsidRPr="00E8586C">
        <w:rPr>
          <w:rFonts w:ascii="Arial" w:eastAsia="Arial" w:hAnsi="Arial" w:cs="Arial"/>
          <w:sz w:val="20"/>
          <w:szCs w:val="20"/>
        </w:rPr>
        <w:t xml:space="preserve"> v oblasti inkluze. </w:t>
      </w:r>
      <w:r w:rsidR="008C75B9">
        <w:rPr>
          <w:rFonts w:ascii="Arial" w:eastAsia="Arial" w:hAnsi="Arial" w:cs="Arial"/>
          <w:sz w:val="20"/>
          <w:szCs w:val="20"/>
        </w:rPr>
        <w:t xml:space="preserve">Program si klade za cíl </w:t>
      </w:r>
      <w:r w:rsidRPr="00E8586C">
        <w:rPr>
          <w:rFonts w:ascii="Arial" w:eastAsia="Arial" w:hAnsi="Arial" w:cs="Arial"/>
          <w:sz w:val="20"/>
          <w:szCs w:val="20"/>
        </w:rPr>
        <w:t xml:space="preserve">pragmaticky </w:t>
      </w:r>
      <w:r w:rsidR="008C75B9">
        <w:rPr>
          <w:rFonts w:ascii="Arial" w:eastAsia="Arial" w:hAnsi="Arial" w:cs="Arial"/>
          <w:sz w:val="20"/>
          <w:szCs w:val="20"/>
        </w:rPr>
        <w:t>mapovat</w:t>
      </w:r>
      <w:r w:rsidR="008C75B9" w:rsidRPr="00E8586C">
        <w:rPr>
          <w:rFonts w:ascii="Arial" w:eastAsia="Arial" w:hAnsi="Arial" w:cs="Arial"/>
          <w:sz w:val="20"/>
          <w:szCs w:val="20"/>
        </w:rPr>
        <w:t xml:space="preserve"> </w:t>
      </w:r>
      <w:r w:rsidRPr="00E8586C">
        <w:rPr>
          <w:rFonts w:ascii="Arial" w:eastAsia="Arial" w:hAnsi="Arial" w:cs="Arial"/>
          <w:sz w:val="20"/>
          <w:szCs w:val="20"/>
        </w:rPr>
        <w:t xml:space="preserve">osvědčené postupy firem napříč obory i </w:t>
      </w:r>
      <w:r w:rsidR="008C75B9">
        <w:rPr>
          <w:rFonts w:ascii="Arial" w:eastAsia="Arial" w:hAnsi="Arial" w:cs="Arial"/>
          <w:sz w:val="20"/>
          <w:szCs w:val="20"/>
        </w:rPr>
        <w:t>regiony</w:t>
      </w:r>
      <w:r w:rsidRPr="00E8586C">
        <w:rPr>
          <w:rFonts w:ascii="Arial" w:eastAsia="Arial" w:hAnsi="Arial" w:cs="Arial"/>
          <w:sz w:val="20"/>
          <w:szCs w:val="20"/>
        </w:rPr>
        <w:t xml:space="preserve"> a sdílel klíčové poznatky s lídry z byznysu i veřejného sektoru po celém světě. Vydaná zpráva s přehledem oceněných iniciativ je k dispozici na stránkách </w:t>
      </w:r>
      <w:hyperlink r:id="rId12" w:history="1">
        <w:r w:rsidRPr="002F3F35">
          <w:rPr>
            <w:rStyle w:val="Hypertextovodkaz"/>
            <w:rFonts w:ascii="Arial" w:eastAsia="Arial" w:hAnsi="Arial" w:cs="Arial"/>
            <w:sz w:val="20"/>
            <w:szCs w:val="20"/>
          </w:rPr>
          <w:t>Světového ekonomického fóra</w:t>
        </w:r>
      </w:hyperlink>
      <w:r w:rsidRPr="00E8586C">
        <w:rPr>
          <w:rFonts w:ascii="Arial" w:eastAsia="Arial" w:hAnsi="Arial" w:cs="Arial"/>
          <w:sz w:val="20"/>
          <w:szCs w:val="20"/>
        </w:rPr>
        <w:t>.</w:t>
      </w:r>
    </w:p>
    <w:p w14:paraId="49EA1C28" w14:textId="77777777" w:rsidR="00102202" w:rsidRPr="00270483" w:rsidRDefault="00102202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0909637D" w14:textId="77777777" w:rsidR="003F79A6" w:rsidRDefault="003F79A6" w:rsidP="003F79A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3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6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7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AA" w14:textId="77777777" w:rsidR="00331157" w:rsidRPr="00EA4814" w:rsidRDefault="00331157">
      <w:r w:rsidRPr="00EA4814">
        <w:separator/>
      </w:r>
    </w:p>
  </w:endnote>
  <w:endnote w:type="continuationSeparator" w:id="0">
    <w:p w14:paraId="7A7C9A8D" w14:textId="77777777" w:rsidR="00331157" w:rsidRPr="00EA4814" w:rsidRDefault="00331157">
      <w:r w:rsidRPr="00EA4814">
        <w:continuationSeparator/>
      </w:r>
    </w:p>
  </w:endnote>
  <w:endnote w:type="continuationNotice" w:id="1">
    <w:p w14:paraId="13E51152" w14:textId="77777777" w:rsidR="00331157" w:rsidRPr="00EA4814" w:rsidRDefault="00331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9B7AE9B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4DDB" w14:textId="77777777" w:rsidR="00331157" w:rsidRPr="00EA4814" w:rsidRDefault="00331157">
      <w:r w:rsidRPr="00EA4814">
        <w:separator/>
      </w:r>
    </w:p>
  </w:footnote>
  <w:footnote w:type="continuationSeparator" w:id="0">
    <w:p w14:paraId="49C45BE7" w14:textId="77777777" w:rsidR="00331157" w:rsidRPr="00EA4814" w:rsidRDefault="00331157">
      <w:r w:rsidRPr="00EA4814">
        <w:continuationSeparator/>
      </w:r>
    </w:p>
  </w:footnote>
  <w:footnote w:type="continuationNotice" w:id="1">
    <w:p w14:paraId="4D1C4147" w14:textId="77777777" w:rsidR="00331157" w:rsidRPr="00EA4814" w:rsidRDefault="00331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25F7A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76C1"/>
    <w:rsid w:val="000A1021"/>
    <w:rsid w:val="000A21EF"/>
    <w:rsid w:val="000A2870"/>
    <w:rsid w:val="000A2A7A"/>
    <w:rsid w:val="000A60E6"/>
    <w:rsid w:val="000A65B4"/>
    <w:rsid w:val="000A6C48"/>
    <w:rsid w:val="000A7F5A"/>
    <w:rsid w:val="000B1504"/>
    <w:rsid w:val="000B2F8E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E4477"/>
    <w:rsid w:val="000F0643"/>
    <w:rsid w:val="000F0F1F"/>
    <w:rsid w:val="000F1FF2"/>
    <w:rsid w:val="000F5FC9"/>
    <w:rsid w:val="000F6EAE"/>
    <w:rsid w:val="000F74DF"/>
    <w:rsid w:val="00102202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4E9E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1936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585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47C2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0D74"/>
    <w:rsid w:val="00251A77"/>
    <w:rsid w:val="00252220"/>
    <w:rsid w:val="0025352E"/>
    <w:rsid w:val="002562C5"/>
    <w:rsid w:val="00257F23"/>
    <w:rsid w:val="002602AB"/>
    <w:rsid w:val="002605EA"/>
    <w:rsid w:val="00260B5F"/>
    <w:rsid w:val="00260BD4"/>
    <w:rsid w:val="00263DA6"/>
    <w:rsid w:val="00264287"/>
    <w:rsid w:val="002649E0"/>
    <w:rsid w:val="00265FA4"/>
    <w:rsid w:val="00267002"/>
    <w:rsid w:val="00270272"/>
    <w:rsid w:val="00270483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46D"/>
    <w:rsid w:val="002928AF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3F35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157"/>
    <w:rsid w:val="003314C2"/>
    <w:rsid w:val="00333B62"/>
    <w:rsid w:val="003348AE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2D1"/>
    <w:rsid w:val="003633F8"/>
    <w:rsid w:val="0036359B"/>
    <w:rsid w:val="00363CB3"/>
    <w:rsid w:val="00365B6E"/>
    <w:rsid w:val="0037168F"/>
    <w:rsid w:val="0037233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966AF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B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579A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3764B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5E2C"/>
    <w:rsid w:val="005B7659"/>
    <w:rsid w:val="005C136D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039"/>
    <w:rsid w:val="006305CF"/>
    <w:rsid w:val="00630F16"/>
    <w:rsid w:val="0064089B"/>
    <w:rsid w:val="00641B85"/>
    <w:rsid w:val="006423A3"/>
    <w:rsid w:val="006448E8"/>
    <w:rsid w:val="00645CEB"/>
    <w:rsid w:val="00646BB1"/>
    <w:rsid w:val="006509DA"/>
    <w:rsid w:val="00653457"/>
    <w:rsid w:val="006541E9"/>
    <w:rsid w:val="00654F79"/>
    <w:rsid w:val="0065666D"/>
    <w:rsid w:val="00656D98"/>
    <w:rsid w:val="006579F9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2AD6"/>
    <w:rsid w:val="006B408F"/>
    <w:rsid w:val="006B41D6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470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20C1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822"/>
    <w:rsid w:val="00852E9A"/>
    <w:rsid w:val="00857189"/>
    <w:rsid w:val="008623D8"/>
    <w:rsid w:val="0086489D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C75B9"/>
    <w:rsid w:val="008D0B0C"/>
    <w:rsid w:val="008D11C4"/>
    <w:rsid w:val="008D32EA"/>
    <w:rsid w:val="008D3962"/>
    <w:rsid w:val="008D3CAC"/>
    <w:rsid w:val="008D5BED"/>
    <w:rsid w:val="008D7A58"/>
    <w:rsid w:val="008D7B58"/>
    <w:rsid w:val="008E12B4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8F38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3AB"/>
    <w:rsid w:val="009219D3"/>
    <w:rsid w:val="0092487D"/>
    <w:rsid w:val="009309DF"/>
    <w:rsid w:val="00930B3E"/>
    <w:rsid w:val="009326E8"/>
    <w:rsid w:val="00937244"/>
    <w:rsid w:val="00937355"/>
    <w:rsid w:val="00942042"/>
    <w:rsid w:val="009432C3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529C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1FDF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6CFD"/>
    <w:rsid w:val="00A871AA"/>
    <w:rsid w:val="00A92056"/>
    <w:rsid w:val="00A93344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A761A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516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0CC0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2E7B"/>
    <w:rsid w:val="00B26A60"/>
    <w:rsid w:val="00B2736E"/>
    <w:rsid w:val="00B31541"/>
    <w:rsid w:val="00B3236E"/>
    <w:rsid w:val="00B35F1A"/>
    <w:rsid w:val="00B36277"/>
    <w:rsid w:val="00B36E5A"/>
    <w:rsid w:val="00B40B79"/>
    <w:rsid w:val="00B41231"/>
    <w:rsid w:val="00B42D5F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08AC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35A94"/>
    <w:rsid w:val="00C413DE"/>
    <w:rsid w:val="00C41759"/>
    <w:rsid w:val="00C41F24"/>
    <w:rsid w:val="00C4322E"/>
    <w:rsid w:val="00C45C4F"/>
    <w:rsid w:val="00C463C3"/>
    <w:rsid w:val="00C50E21"/>
    <w:rsid w:val="00C5128C"/>
    <w:rsid w:val="00C5322E"/>
    <w:rsid w:val="00C53537"/>
    <w:rsid w:val="00C54F9A"/>
    <w:rsid w:val="00C568B5"/>
    <w:rsid w:val="00C609FB"/>
    <w:rsid w:val="00C63F94"/>
    <w:rsid w:val="00C6541A"/>
    <w:rsid w:val="00C65A12"/>
    <w:rsid w:val="00C73887"/>
    <w:rsid w:val="00C765F9"/>
    <w:rsid w:val="00C76D14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0DF5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2A70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1C58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7618D"/>
    <w:rsid w:val="00E763FC"/>
    <w:rsid w:val="00E801D4"/>
    <w:rsid w:val="00E8072A"/>
    <w:rsid w:val="00E81133"/>
    <w:rsid w:val="00E8172A"/>
    <w:rsid w:val="00E84726"/>
    <w:rsid w:val="00E8586C"/>
    <w:rsid w:val="00E863B2"/>
    <w:rsid w:val="00E900FE"/>
    <w:rsid w:val="00E91343"/>
    <w:rsid w:val="00E9592D"/>
    <w:rsid w:val="00E95FAD"/>
    <w:rsid w:val="00E96A54"/>
    <w:rsid w:val="00EA15E3"/>
    <w:rsid w:val="00EA1900"/>
    <w:rsid w:val="00EA1F71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53AB"/>
    <w:rsid w:val="00EC6E77"/>
    <w:rsid w:val="00ED1E1A"/>
    <w:rsid w:val="00ED3A64"/>
    <w:rsid w:val="00ED528F"/>
    <w:rsid w:val="00EE230B"/>
    <w:rsid w:val="00EE27B3"/>
    <w:rsid w:val="00EE5944"/>
    <w:rsid w:val="00EE66B5"/>
    <w:rsid w:val="00EE6EC3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37938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4E3F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weforum.org/?_gl=1*3kcydr*_up*MQ..*_gs*MQ..&amp;gclid=CjwKCAjwuanRBhBSEiwAY5y6VwnRf7JRVhpv5AKNhgEkmz4Hhx7FfaOSHzqIngvhIGqHMacV5zg83hoC6R8QAvD_BwE&amp;gbraid=0AAAAAoVy5F4pw6RAsLhzvT9fCj-Swh1ba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4</TotalTime>
  <Pages>2</Pages>
  <Words>827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 | CrestCommunications a.s.</cp:lastModifiedBy>
  <cp:revision>3</cp:revision>
  <dcterms:created xsi:type="dcterms:W3CDTF">2026-06-17T08:29:00Z</dcterms:created>
  <dcterms:modified xsi:type="dcterms:W3CDTF">2026-06-22T07:47:00Z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